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3 (Framework Prices)</w:t>
      </w:r>
      <w:r w:rsidDel="00000000" w:rsidR="00000000" w:rsidRPr="00000000">
        <w:rPr>
          <w:rtl w:val="0"/>
        </w:rPr>
      </w:r>
    </w:p>
    <w:p w:rsidR="00000000" w:rsidDel="00000000" w:rsidP="00000000" w:rsidRDefault="00000000" w:rsidRPr="00000000" w14:paraId="00000002">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sz w:val="26"/>
          <w:szCs w:val="26"/>
        </w:rPr>
      </w:pPr>
      <w:bookmarkStart w:colFirst="0" w:colLast="0" w:name="_heading=h.gjdgxs" w:id="0"/>
      <w:bookmarkEnd w:id="0"/>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Framework Prices are used to calculate Call-Off Charges</w:t>
      </w:r>
      <w:r w:rsidDel="00000000" w:rsidR="00000000" w:rsidRPr="00000000">
        <w:rPr>
          <w:rtl w:val="0"/>
        </w:rPr>
      </w:r>
    </w:p>
    <w:p w:rsidR="00000000" w:rsidDel="00000000" w:rsidP="00000000" w:rsidRDefault="00000000" w:rsidRPr="00000000" w14:paraId="00000003">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Framework Prices: </w:t>
      </w:r>
    </w:p>
    <w:p w:rsidR="00000000" w:rsidDel="00000000" w:rsidP="00000000" w:rsidRDefault="00000000" w:rsidRPr="00000000" w14:paraId="00000004">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 w:val="left" w:pos="1440"/>
        </w:tabs>
        <w:spacing w:after="120" w:before="120" w:line="240" w:lineRule="auto"/>
        <w:ind w:left="1980" w:right="0" w:hanging="846.141732283464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be used as the basis for the charges (and are maximums that the Supplier may charge) under each Call Off Contract; and</w:t>
      </w:r>
    </w:p>
    <w:p w:rsidR="00000000" w:rsidDel="00000000" w:rsidP="00000000" w:rsidRDefault="00000000" w:rsidRPr="00000000" w14:paraId="00000005">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46.141732283464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cannot be increased except as in accordance with this Schedule.</w:t>
      </w:r>
      <w:r w:rsidDel="00000000" w:rsidR="00000000" w:rsidRPr="00000000">
        <w:rPr>
          <w:rtl w:val="0"/>
        </w:rPr>
      </w:r>
    </w:p>
    <w:p w:rsidR="00000000" w:rsidDel="00000000" w:rsidP="00000000" w:rsidRDefault="00000000" w:rsidRPr="00000000" w14:paraId="00000006">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Charges:</w:t>
      </w:r>
    </w:p>
    <w:p w:rsidR="00000000" w:rsidDel="00000000" w:rsidP="00000000" w:rsidRDefault="00000000" w:rsidRPr="00000000" w14:paraId="0000000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46.141732283464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calculated in accordance with the terms of the Call Off Contract and in particular in accordance with the terms of the Order Form; </w:t>
      </w:r>
    </w:p>
    <w:p w:rsidR="00000000" w:rsidDel="00000000" w:rsidP="00000000" w:rsidRDefault="00000000" w:rsidRPr="00000000" w14:paraId="00000008">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46.141732283464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cannot be increased except as specifically permitted by the Call Off Contract and in particular shall not be subject to Indexation</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137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Framework Prices are calculated</w:t>
      </w:r>
      <w:r w:rsidDel="00000000" w:rsidR="00000000" w:rsidRPr="00000000">
        <w:rPr>
          <w:rtl w:val="0"/>
        </w:rPr>
      </w:r>
    </w:p>
    <w:p w:rsidR="00000000" w:rsidDel="00000000" w:rsidP="00000000" w:rsidRDefault="00000000" w:rsidRPr="00000000" w14:paraId="0000000B">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pricing mechanisms and prices set out in Annex 1 shall be available for use in calculation of Framework Prices in Call Off Contracts.</w:t>
      </w:r>
    </w:p>
    <w:p w:rsidR="00000000" w:rsidDel="00000000" w:rsidP="00000000" w:rsidRDefault="00000000" w:rsidRPr="00000000" w14:paraId="0000000C">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pPr>
      <w:bookmarkStart w:colFirst="0" w:colLast="0" w:name="_heading=h.30j0zll" w:id="1"/>
      <w:bookmarkEnd w:id="1"/>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Costs and expenses </w:t>
      </w:r>
      <w:r w:rsidDel="00000000" w:rsidR="00000000" w:rsidRPr="00000000">
        <w:rPr>
          <w:rtl w:val="0"/>
        </w:rPr>
      </w:r>
    </w:p>
    <w:p w:rsidR="00000000" w:rsidDel="00000000" w:rsidP="00000000" w:rsidRDefault="00000000" w:rsidRPr="00000000" w14:paraId="0000000D">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sz w:val="24"/>
          <w:szCs w:val="24"/>
          <w:rtl w:val="0"/>
        </w:rPr>
        <w:t xml:space="preserve">Except as expressly set out in paragraph 4 (Reimbursable Expenses) of this Framework Schedule 3, the Framework Prices shall include all costs and expenses relating to the Services provided to the Buyer and/or the Suppliers performance of its obligations under any Call Off Contracts and no further amounts shall be payable by a Buyer to the Supplier in respect of such performance, including in respect of matters such as: </w:t>
      </w:r>
    </w:p>
    <w:p w:rsidR="00000000" w:rsidDel="00000000" w:rsidP="00000000" w:rsidRDefault="00000000" w:rsidRPr="00000000" w14:paraId="0000000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 w:val="left" w:pos="1980"/>
        </w:tabs>
        <w:spacing w:after="120" w:before="120" w:line="240" w:lineRule="auto"/>
        <w:ind w:left="1984.251968503937" w:right="0" w:hanging="850.3937007874017"/>
        <w:jc w:val="left"/>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sz w:val="24"/>
          <w:szCs w:val="24"/>
          <w:rtl w:val="0"/>
        </w:rPr>
        <w:t xml:space="preserve">incidental expenses that the Supplier incurs, including travel, subsistence and lodging, document or report reproduction, shipping, desktop or office equipment costs required by the Supplier Personnel, network or data interchange costs or other telecommunications charges; or </w:t>
      </w:r>
    </w:p>
    <w:p w:rsidR="00000000" w:rsidDel="00000000" w:rsidP="00000000" w:rsidRDefault="00000000" w:rsidRPr="00000000" w14:paraId="0000000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 w:val="left" w:pos="1980"/>
        </w:tabs>
        <w:spacing w:after="120" w:before="120" w:line="240" w:lineRule="auto"/>
        <w:ind w:left="1980" w:right="0" w:hanging="846.1417322834649"/>
        <w:jc w:val="left"/>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sz w:val="24"/>
          <w:szCs w:val="24"/>
          <w:rtl w:val="0"/>
        </w:rPr>
        <w:t xml:space="preserve">any amount for any services provided or costs incurred by the Supplier prior to the commencement date of any Call Off Contract.</w:t>
      </w: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 or</w:t>
      </w:r>
    </w:p>
    <w:p w:rsidR="00000000" w:rsidDel="00000000" w:rsidP="00000000" w:rsidRDefault="00000000" w:rsidRPr="00000000" w14:paraId="00000010">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 w:val="left" w:pos="1980"/>
        </w:tabs>
        <w:spacing w:after="120" w:before="120" w:line="240" w:lineRule="auto"/>
        <w:ind w:left="1980" w:right="0" w:hanging="846.141732283464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costs incurred prior to the commencement of any Call Off Contract.</w:t>
      </w:r>
    </w:p>
    <w:p w:rsidR="00000000" w:rsidDel="00000000" w:rsidP="00000000" w:rsidRDefault="00000000" w:rsidRPr="00000000" w14:paraId="00000011">
      <w:pPr>
        <w:numPr>
          <w:ilvl w:val="0"/>
          <w:numId w:val="1"/>
        </w:numPr>
        <w:tabs>
          <w:tab w:val="left" w:pos="142"/>
        </w:tabs>
        <w:spacing w:after="240" w:before="120" w:line="240" w:lineRule="auto"/>
        <w:ind w:left="360"/>
        <w:jc w:val="both"/>
        <w:rPr>
          <w:rFonts w:ascii="Calibri" w:cs="Calibri" w:eastAsia="Calibri" w:hAnsi="Calibri"/>
          <w:sz w:val="22"/>
          <w:szCs w:val="22"/>
        </w:rPr>
      </w:pPr>
      <w:r w:rsidDel="00000000" w:rsidR="00000000" w:rsidRPr="00000000">
        <w:rPr>
          <w:rFonts w:ascii="Arial" w:cs="Arial" w:eastAsia="Arial" w:hAnsi="Arial"/>
          <w:b w:val="1"/>
          <w:sz w:val="24"/>
          <w:szCs w:val="24"/>
          <w:rtl w:val="0"/>
        </w:rPr>
        <w:t xml:space="preserve">Reimbursable expenses</w:t>
      </w:r>
    </w:p>
    <w:p w:rsidR="00000000" w:rsidDel="00000000" w:rsidP="00000000" w:rsidRDefault="00000000" w:rsidRPr="00000000" w14:paraId="00000012">
      <w:pPr>
        <w:numPr>
          <w:ilvl w:val="1"/>
          <w:numId w:val="1"/>
        </w:numPr>
        <w:tabs>
          <w:tab w:val="left" w:pos="142"/>
        </w:tabs>
        <w:spacing w:after="240" w:before="120" w:line="240" w:lineRule="auto"/>
        <w:ind w:left="644" w:hanging="359.9999999999999"/>
        <w:jc w:val="both"/>
        <w:rPr>
          <w:sz w:val="24"/>
          <w:szCs w:val="24"/>
        </w:rPr>
      </w:pPr>
      <w:r w:rsidDel="00000000" w:rsidR="00000000" w:rsidRPr="00000000">
        <w:rPr>
          <w:rFonts w:ascii="Arial" w:cs="Arial" w:eastAsia="Arial" w:hAnsi="Arial"/>
          <w:sz w:val="24"/>
          <w:szCs w:val="24"/>
          <w:rtl w:val="0"/>
        </w:rPr>
        <w:t xml:space="preserve">Where Services are to be provided to the Buyer under any Call Off Contract on the basis of Framework Prices submitted by the Supplier to CCS using the Time and Materials pricing mechanism set out in Annex 1, the Supplier shall be entitled to be reimbursed by the Buyer for Reimbursable Expenses (in addition to being paid the relevant Charges under the respective Call Off Contracts), provided that such Reimbursable Expenses are supported by Supporting Documentation. The Buyer shall provide a copy of their current expenses policy to the Supplier upon request. </w:t>
      </w:r>
      <w:r w:rsidDel="00000000" w:rsidR="00000000" w:rsidRPr="00000000">
        <w:rPr>
          <w:rtl w:val="0"/>
        </w:rPr>
      </w:r>
    </w:p>
    <w:p w:rsidR="00000000" w:rsidDel="00000000" w:rsidP="00000000" w:rsidRDefault="00000000" w:rsidRPr="00000000" w14:paraId="00000013">
      <w:pPr>
        <w:numPr>
          <w:ilvl w:val="0"/>
          <w:numId w:val="1"/>
        </w:numPr>
        <w:tabs>
          <w:tab w:val="left" w:pos="142"/>
        </w:tabs>
        <w:spacing w:after="240" w:before="120" w:line="240" w:lineRule="auto"/>
        <w:ind w:left="360"/>
        <w:jc w:val="both"/>
        <w:rPr>
          <w:sz w:val="24"/>
          <w:szCs w:val="24"/>
        </w:rPr>
      </w:pPr>
      <w:r w:rsidDel="00000000" w:rsidR="00000000" w:rsidRPr="00000000">
        <w:rPr>
          <w:rFonts w:ascii="Arial" w:cs="Arial" w:eastAsia="Arial" w:hAnsi="Arial"/>
          <w:b w:val="1"/>
          <w:sz w:val="24"/>
          <w:szCs w:val="24"/>
          <w:rtl w:val="0"/>
        </w:rPr>
        <w:t xml:space="preserve">Other events that allow the Supplier to change the Framework Prices</w:t>
      </w:r>
    </w:p>
    <w:p w:rsidR="00000000" w:rsidDel="00000000" w:rsidP="00000000" w:rsidRDefault="00000000" w:rsidRPr="00000000" w14:paraId="00000014">
      <w:pPr>
        <w:numPr>
          <w:ilvl w:val="1"/>
          <w:numId w:val="1"/>
        </w:numPr>
        <w:tabs>
          <w:tab w:val="left" w:pos="709"/>
        </w:tabs>
        <w:spacing w:after="120" w:before="120" w:line="240" w:lineRule="auto"/>
        <w:ind w:left="644" w:hanging="359.9999999999999"/>
        <w:rPr/>
      </w:pPr>
      <w:r w:rsidDel="00000000" w:rsidR="00000000" w:rsidRPr="00000000">
        <w:rPr>
          <w:rFonts w:ascii="Arial" w:cs="Arial" w:eastAsia="Arial" w:hAnsi="Arial"/>
          <w:sz w:val="24"/>
          <w:szCs w:val="24"/>
          <w:rtl w:val="0"/>
        </w:rPr>
        <w:t xml:space="preserve">The Framework Prices can also be varied (and Annex 1 will be updated accordingly) due to:</w:t>
      </w:r>
    </w:p>
    <w:p w:rsidR="00000000" w:rsidDel="00000000" w:rsidP="00000000" w:rsidRDefault="00000000" w:rsidRPr="00000000" w14:paraId="00000015">
      <w:pPr>
        <w:numPr>
          <w:ilvl w:val="2"/>
          <w:numId w:val="1"/>
        </w:numPr>
        <w:tabs>
          <w:tab w:val="left" w:pos="1985"/>
          <w:tab w:val="left" w:pos="2127"/>
        </w:tabs>
        <w:spacing w:after="120" w:before="120" w:line="240" w:lineRule="auto"/>
        <w:ind w:left="990" w:firstLine="143.85826771653512"/>
        <w:rPr>
          <w:rFonts w:ascii="Arial" w:cs="Arial" w:eastAsia="Arial" w:hAnsi="Arial"/>
        </w:rPr>
      </w:pPr>
      <w:r w:rsidDel="00000000" w:rsidR="00000000" w:rsidRPr="00000000">
        <w:rPr>
          <w:rFonts w:ascii="Arial" w:cs="Arial" w:eastAsia="Arial" w:hAnsi="Arial"/>
          <w:sz w:val="24"/>
          <w:szCs w:val="24"/>
          <w:rtl w:val="0"/>
        </w:rPr>
        <w:t xml:space="preserve">a Specific Change in Law in accordance with Clause 24;</w:t>
      </w:r>
    </w:p>
    <w:p w:rsidR="00000000" w:rsidDel="00000000" w:rsidP="00000000" w:rsidRDefault="00000000" w:rsidRPr="00000000" w14:paraId="00000016">
      <w:pPr>
        <w:numPr>
          <w:ilvl w:val="2"/>
          <w:numId w:val="1"/>
        </w:numPr>
        <w:tabs>
          <w:tab w:val="left" w:pos="1985"/>
          <w:tab w:val="left" w:pos="2127"/>
        </w:tabs>
        <w:spacing w:after="120" w:before="120" w:line="240" w:lineRule="auto"/>
        <w:ind w:left="990" w:firstLine="143.85826771653512"/>
        <w:rPr>
          <w:rFonts w:ascii="Arial" w:cs="Arial" w:eastAsia="Arial" w:hAnsi="Arial"/>
        </w:rPr>
      </w:pPr>
      <w:r w:rsidDel="00000000" w:rsidR="00000000" w:rsidRPr="00000000">
        <w:rPr>
          <w:rFonts w:ascii="Arial" w:cs="Arial" w:eastAsia="Arial" w:hAnsi="Arial"/>
          <w:sz w:val="24"/>
          <w:szCs w:val="24"/>
          <w:rtl w:val="0"/>
        </w:rPr>
        <w:t xml:space="preserve">a review in accordance with insurance requirements in Clause 13; </w:t>
      </w:r>
    </w:p>
    <w:p w:rsidR="00000000" w:rsidDel="00000000" w:rsidP="00000000" w:rsidRDefault="00000000" w:rsidRPr="00000000" w14:paraId="00000017">
      <w:pPr>
        <w:numPr>
          <w:ilvl w:val="2"/>
          <w:numId w:val="1"/>
        </w:numPr>
        <w:tabs>
          <w:tab w:val="left" w:pos="1985"/>
          <w:tab w:val="left" w:pos="2127"/>
        </w:tabs>
        <w:spacing w:after="120" w:before="120" w:line="240" w:lineRule="auto"/>
        <w:ind w:left="990" w:firstLine="143.85826771653512"/>
        <w:rPr>
          <w:rFonts w:ascii="Arial" w:cs="Arial" w:eastAsia="Arial" w:hAnsi="Arial"/>
        </w:rPr>
      </w:pPr>
      <w:r w:rsidDel="00000000" w:rsidR="00000000" w:rsidRPr="00000000">
        <w:rPr>
          <w:rFonts w:ascii="Arial" w:cs="Arial" w:eastAsia="Arial" w:hAnsi="Arial"/>
          <w:sz w:val="24"/>
          <w:szCs w:val="24"/>
          <w:rtl w:val="0"/>
        </w:rPr>
        <w:t xml:space="preserve">a benchmarking review in accordance with Call Off Schedule 16 (Benchmarking): and</w:t>
      </w:r>
    </w:p>
    <w:p w:rsidR="00000000" w:rsidDel="00000000" w:rsidP="00000000" w:rsidRDefault="00000000" w:rsidRPr="00000000" w14:paraId="00000018">
      <w:pPr>
        <w:numPr>
          <w:ilvl w:val="2"/>
          <w:numId w:val="1"/>
        </w:numPr>
        <w:tabs>
          <w:tab w:val="left" w:pos="1985"/>
          <w:tab w:val="left" w:pos="2127"/>
        </w:tabs>
        <w:spacing w:after="120" w:before="120" w:line="240" w:lineRule="auto"/>
        <w:ind w:left="990" w:firstLine="143.85826771653512"/>
        <w:rPr>
          <w:rFonts w:ascii="Arial" w:cs="Arial" w:eastAsia="Arial" w:hAnsi="Arial"/>
        </w:rPr>
      </w:pPr>
      <w:r w:rsidDel="00000000" w:rsidR="00000000" w:rsidRPr="00000000">
        <w:rPr>
          <w:rFonts w:ascii="Arial" w:cs="Arial" w:eastAsia="Arial" w:hAnsi="Arial"/>
          <w:sz w:val="24"/>
          <w:szCs w:val="24"/>
          <w:rtl w:val="0"/>
        </w:rPr>
        <w:t xml:space="preserve">a request from the Supplier, which it can make at any time, to decrease the Framework Prices.</w:t>
      </w:r>
    </w:p>
    <w:p w:rsidR="00000000" w:rsidDel="00000000" w:rsidP="00000000" w:rsidRDefault="00000000" w:rsidRPr="00000000" w14:paraId="00000019">
      <w:pPr>
        <w:tabs>
          <w:tab w:val="left" w:pos="1985"/>
          <w:tab w:val="left" w:pos="2127"/>
        </w:tabs>
        <w:spacing w:after="120" w:before="120" w:line="240" w:lineRule="auto"/>
        <w:ind w:left="608.0000000000001"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A">
      <w:pPr>
        <w:numPr>
          <w:ilvl w:val="0"/>
          <w:numId w:val="1"/>
        </w:numPr>
        <w:tabs>
          <w:tab w:val="left" w:pos="142"/>
        </w:tabs>
        <w:spacing w:after="240" w:before="120" w:line="240" w:lineRule="auto"/>
        <w:ind w:left="360"/>
        <w:jc w:val="both"/>
        <w:rPr/>
      </w:pPr>
      <w:r w:rsidDel="00000000" w:rsidR="00000000" w:rsidRPr="00000000">
        <w:rPr>
          <w:rFonts w:ascii="Arial" w:cs="Arial" w:eastAsia="Arial" w:hAnsi="Arial"/>
          <w:b w:val="1"/>
          <w:sz w:val="24"/>
          <w:szCs w:val="24"/>
          <w:rtl w:val="0"/>
        </w:rPr>
        <w:t xml:space="preserve">Not Used  </w:t>
      </w:r>
      <w:r w:rsidDel="00000000" w:rsidR="00000000" w:rsidRPr="00000000">
        <w:rPr>
          <w:rtl w:val="0"/>
        </w:rPr>
      </w:r>
    </w:p>
    <w:p w:rsidR="00000000" w:rsidDel="00000000" w:rsidP="00000000" w:rsidRDefault="00000000" w:rsidRPr="00000000" w14:paraId="0000001B">
      <w:pPr>
        <w:numPr>
          <w:ilvl w:val="0"/>
          <w:numId w:val="1"/>
        </w:numPr>
        <w:tabs>
          <w:tab w:val="left" w:pos="142"/>
        </w:tabs>
        <w:spacing w:after="240" w:before="120" w:line="240" w:lineRule="auto"/>
        <w:ind w:left="360"/>
        <w:jc w:val="both"/>
        <w:rPr/>
      </w:pPr>
      <w:r w:rsidDel="00000000" w:rsidR="00000000" w:rsidRPr="00000000">
        <w:rPr>
          <w:rFonts w:ascii="Arial" w:cs="Arial" w:eastAsia="Arial" w:hAnsi="Arial"/>
          <w:b w:val="1"/>
          <w:sz w:val="24"/>
          <w:szCs w:val="24"/>
          <w:rtl w:val="0"/>
        </w:rPr>
        <w:t xml:space="preserve">Not Used</w:t>
      </w:r>
      <w:r w:rsidDel="00000000" w:rsidR="00000000" w:rsidRPr="00000000">
        <w:rPr>
          <w:rtl w:val="0"/>
        </w:rPr>
      </w:r>
    </w:p>
    <w:p w:rsidR="00000000" w:rsidDel="00000000" w:rsidP="00000000" w:rsidRDefault="00000000" w:rsidRPr="00000000" w14:paraId="0000001C">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pPr>
      <w:r w:rsidDel="00000000" w:rsidR="00000000" w:rsidRPr="00000000">
        <w:rPr>
          <w:rFonts w:ascii="Arial" w:cs="Arial" w:eastAsia="Arial" w:hAnsi="Arial"/>
          <w:b w:val="1"/>
          <w:sz w:val="24"/>
          <w:szCs w:val="24"/>
          <w:rtl w:val="0"/>
        </w:rPr>
        <w:t xml:space="preserve">Not Used</w:t>
      </w: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1372"/>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1372"/>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F">
      <w:pPr>
        <w:rPr>
          <w:rFonts w:ascii="Arial" w:cs="Arial" w:eastAsia="Arial" w:hAnsi="Arial"/>
          <w:b w:val="1"/>
          <w:sz w:val="36"/>
          <w:szCs w:val="36"/>
        </w:rPr>
      </w:pPr>
      <w:bookmarkStart w:colFirst="0" w:colLast="0" w:name="_heading=h.2et92p0" w:id="2"/>
      <w:bookmarkEnd w:id="2"/>
      <w:r w:rsidDel="00000000" w:rsidR="00000000" w:rsidRPr="00000000">
        <w:br w:type="page"/>
      </w:r>
      <w:r w:rsidDel="00000000" w:rsidR="00000000" w:rsidRPr="00000000">
        <w:rPr>
          <w:rFonts w:ascii="Arial" w:cs="Arial" w:eastAsia="Arial" w:hAnsi="Arial"/>
          <w:b w:val="1"/>
          <w:sz w:val="36"/>
          <w:szCs w:val="36"/>
          <w:rtl w:val="0"/>
        </w:rPr>
        <w:t xml:space="preserve">Annex 1: Rates and Prices</w:t>
      </w:r>
    </w:p>
    <w:p w:rsidR="00000000" w:rsidDel="00000000" w:rsidP="00000000" w:rsidRDefault="00000000" w:rsidRPr="00000000" w14:paraId="00000020">
      <w:pPr>
        <w:keepNext w:val="1"/>
        <w:keepLines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Table 1: Time and Materials</w:t>
      </w:r>
    </w:p>
    <w:p w:rsidR="00000000" w:rsidDel="00000000" w:rsidP="00000000" w:rsidRDefault="00000000" w:rsidRPr="00000000" w14:paraId="00000021">
      <w:pPr>
        <w:keepNext w:val="1"/>
        <w:keepLines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 its Sub-Contractor) shall not be entitled to include any uplift for risks or contingencies within its day rates</w:t>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rPr>
          <w:rFonts w:ascii="Arial" w:cs="Arial" w:eastAsia="Arial" w:hAnsi="Arial"/>
          <w:b w:val="1"/>
          <w:smallCaps w:val="0"/>
          <w:strike w:val="0"/>
          <w:color w:val="000000"/>
          <w:sz w:val="24"/>
          <w:szCs w:val="24"/>
          <w:u w:val="none"/>
          <w:shd w:fill="auto" w:val="clear"/>
          <w:vertAlign w:val="baseline"/>
        </w:rPr>
      </w:pPr>
      <w:r w:rsidDel="00000000" w:rsidR="00000000" w:rsidRPr="00000000">
        <w:rPr>
          <w:rFonts w:ascii="Arial" w:cs="Arial" w:eastAsia="Arial" w:hAnsi="Arial"/>
          <w:b w:val="0"/>
          <w:smallCaps w:val="0"/>
          <w:strike w:val="0"/>
          <w:color w:val="000000"/>
          <w:sz w:val="24"/>
          <w:szCs w:val="24"/>
          <w:u w:val="none"/>
          <w:shd w:fill="auto" w:val="clear"/>
          <w:vertAlign w:val="baseline"/>
          <w:rtl w:val="0"/>
        </w:rPr>
        <w:t xml:space="preserve">The rates below shall not be subject to variation by way of Indexation</w:t>
      </w:r>
      <w:r w:rsidDel="00000000" w:rsidR="00000000" w:rsidRPr="00000000">
        <w:rPr>
          <w:rtl w:val="0"/>
        </w:rPr>
      </w:r>
    </w:p>
    <w:tbl>
      <w:tblPr>
        <w:tblStyle w:val="Table1"/>
        <w:tblW w:w="9120.0" w:type="dxa"/>
        <w:jc w:val="left"/>
        <w:tblInd w:w="-105.0" w:type="dxa"/>
        <w:tblBorders>
          <w:top w:color="808080" w:space="0" w:sz="4" w:val="single"/>
          <w:left w:color="808080" w:space="0" w:sz="4" w:val="single"/>
          <w:bottom w:color="808080" w:space="0" w:sz="4" w:val="single"/>
          <w:right w:color="808080" w:space="0" w:sz="4" w:val="single"/>
          <w:insideH w:color="808080" w:space="0" w:sz="4" w:val="single"/>
          <w:insideV w:color="808080" w:space="0" w:sz="4" w:val="single"/>
        </w:tblBorders>
        <w:tblLayout w:type="fixed"/>
        <w:tblLook w:val="0000"/>
      </w:tblPr>
      <w:tblGrid>
        <w:gridCol w:w="4560"/>
        <w:gridCol w:w="4560"/>
        <w:tblGridChange w:id="0">
          <w:tblGrid>
            <w:gridCol w:w="4560"/>
            <w:gridCol w:w="4560"/>
          </w:tblGrid>
        </w:tblGridChange>
      </w:tblGrid>
      <w:tr>
        <w:tc>
          <w:tcPr>
            <w:tcBorders>
              <w:bottom w:color="000000" w:space="0" w:sz="4" w:val="single"/>
            </w:tcBorders>
            <w:shd w:fill="548dd4" w:val="clear"/>
          </w:tcPr>
          <w:p w:rsidR="00000000" w:rsidDel="00000000" w:rsidP="00000000" w:rsidRDefault="00000000" w:rsidRPr="00000000" w14:paraId="00000023">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Staff Grade</w:t>
            </w:r>
          </w:p>
        </w:tc>
        <w:tc>
          <w:tcPr>
            <w:tcBorders>
              <w:bottom w:color="000000" w:space="0" w:sz="4" w:val="single"/>
            </w:tcBorders>
            <w:shd w:fill="548dd4" w:val="clear"/>
          </w:tcPr>
          <w:p w:rsidR="00000000" w:rsidDel="00000000" w:rsidP="00000000" w:rsidRDefault="00000000" w:rsidRPr="00000000" w14:paraId="00000024">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Day Rate (£)</w:t>
            </w:r>
          </w:p>
        </w:tc>
      </w:tr>
      <w:tr>
        <w:tc>
          <w:tcPr>
            <w:tcBorders>
              <w:top w:color="000000" w:space="0" w:sz="4" w:val="single"/>
              <w:left w:color="000000" w:space="0" w:sz="4" w:val="single"/>
              <w:bottom w:color="000000" w:space="0" w:sz="0" w:val="nil"/>
              <w:right w:color="000000" w:space="0" w:sz="4" w:val="single"/>
            </w:tcBorders>
          </w:tcPr>
          <w:p w:rsidR="00000000" w:rsidDel="00000000" w:rsidP="00000000" w:rsidRDefault="00000000" w:rsidRPr="00000000" w14:paraId="00000025">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1.73228346456688"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Partner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6">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[T&amp;M]</w:t>
            </w:r>
          </w:p>
        </w:tc>
      </w:tr>
      <w:tr>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027">
            <w:pPr>
              <w:widowControl w:val="0"/>
              <w:pBdr>
                <w:top w:space="0" w:sz="0" w:val="nil"/>
                <w:left w:space="0" w:sz="0" w:val="nil"/>
                <w:bottom w:space="0" w:sz="0" w:val="nil"/>
                <w:right w:space="0" w:sz="0" w:val="nil"/>
                <w:between w:space="0" w:sz="0" w:val="nil"/>
              </w:pBdr>
              <w:shd w:fill="auto" w:val="clear"/>
              <w:spacing w:after="0" w:line="276" w:lineRule="auto"/>
              <w:ind w:lef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Managing Consultancy / Director</w:t>
            </w:r>
            <w:r w:rsidDel="00000000" w:rsidR="00000000" w:rsidRPr="00000000">
              <w:rPr>
                <w:rtl w:val="0"/>
              </w:rPr>
            </w:r>
          </w:p>
        </w:tc>
        <w:tc>
          <w:tcPr>
            <w:tcBorders>
              <w:top w:color="000000" w:space="0" w:sz="4" w:val="single"/>
              <w:left w:color="000000" w:space="0" w:sz="6" w:val="single"/>
              <w:bottom w:color="000000" w:space="0" w:sz="4" w:val="single"/>
              <w:right w:color="000000" w:space="0" w:sz="4" w:val="single"/>
            </w:tcBorders>
          </w:tcPr>
          <w:p w:rsidR="00000000" w:rsidDel="00000000" w:rsidP="00000000" w:rsidRDefault="00000000" w:rsidRPr="00000000" w14:paraId="00000028">
            <w:pPr>
              <w:keepNext w:val="1"/>
              <w:pBdr>
                <w:top w:space="0" w:sz="0" w:val="nil"/>
                <w:left w:space="0" w:sz="0" w:val="nil"/>
                <w:bottom w:space="0" w:sz="0" w:val="nil"/>
                <w:right w:space="0" w:sz="0" w:val="nil"/>
                <w:between w:space="0" w:sz="0" w:val="nil"/>
              </w:pBdr>
              <w:shd w:fill="auto" w:val="clear"/>
              <w:spacing w:after="120" w:before="240" w:line="240" w:lineRule="auto"/>
              <w:ind w:left="142"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[T&amp;M]</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029">
            <w:pPr>
              <w:widowControl w:val="0"/>
              <w:pBdr>
                <w:top w:space="0" w:sz="0" w:val="nil"/>
                <w:left w:space="0" w:sz="0" w:val="nil"/>
                <w:bottom w:space="0" w:sz="0" w:val="nil"/>
                <w:right w:space="0" w:sz="0" w:val="nil"/>
                <w:between w:space="0" w:sz="0" w:val="nil"/>
              </w:pBdr>
              <w:shd w:fill="auto" w:val="clear"/>
              <w:spacing w:after="0" w:line="276" w:lineRule="auto"/>
              <w:ind w:left="0" w:firstLine="0"/>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Principal Consultant / Associate Director</w:t>
            </w:r>
            <w:r w:rsidDel="00000000" w:rsidR="00000000" w:rsidRPr="00000000">
              <w:rPr>
                <w:rtl w:val="0"/>
              </w:rPr>
            </w:r>
          </w:p>
        </w:tc>
        <w:tc>
          <w:tcPr>
            <w:tcBorders>
              <w:top w:color="000000" w:space="0" w:sz="4" w:val="single"/>
              <w:left w:color="000000" w:space="0" w:sz="6" w:val="single"/>
              <w:bottom w:color="000000" w:space="0" w:sz="4" w:val="single"/>
              <w:right w:color="000000" w:space="0" w:sz="4" w:val="single"/>
            </w:tcBorders>
          </w:tcPr>
          <w:p w:rsidR="00000000" w:rsidDel="00000000" w:rsidP="00000000" w:rsidRDefault="00000000" w:rsidRPr="00000000" w14:paraId="0000002A">
            <w:pPr>
              <w:keepNext w:val="1"/>
              <w:pBdr>
                <w:top w:space="0" w:sz="0" w:val="nil"/>
                <w:left w:space="0" w:sz="0" w:val="nil"/>
                <w:bottom w:space="0" w:sz="0" w:val="nil"/>
                <w:right w:space="0" w:sz="0" w:val="nil"/>
                <w:between w:space="0" w:sz="0" w:val="nil"/>
              </w:pBdr>
              <w:shd w:fill="auto" w:val="clear"/>
              <w:spacing w:after="120" w:before="240" w:line="240" w:lineRule="auto"/>
              <w:ind w:left="142" w:firstLine="0"/>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[T&amp;M]</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02B">
            <w:pPr>
              <w:widowControl w:val="0"/>
              <w:pBdr>
                <w:top w:space="0" w:sz="0" w:val="nil"/>
                <w:left w:space="0" w:sz="0" w:val="nil"/>
                <w:bottom w:space="0" w:sz="0" w:val="nil"/>
                <w:right w:space="0" w:sz="0" w:val="nil"/>
                <w:between w:space="0" w:sz="0" w:val="nil"/>
              </w:pBdr>
              <w:shd w:fill="auto" w:val="clear"/>
              <w:spacing w:after="0" w:line="276" w:lineRule="auto"/>
              <w:ind w:left="0" w:firstLine="0"/>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Senior Consultant / Engagement Manager / Project Lead</w:t>
            </w:r>
            <w:r w:rsidDel="00000000" w:rsidR="00000000" w:rsidRPr="00000000">
              <w:rPr>
                <w:rtl w:val="0"/>
              </w:rPr>
            </w:r>
          </w:p>
        </w:tc>
        <w:tc>
          <w:tcPr>
            <w:tcBorders>
              <w:top w:color="000000" w:space="0" w:sz="4" w:val="single"/>
              <w:left w:color="000000" w:space="0" w:sz="6" w:val="single"/>
              <w:bottom w:color="000000" w:space="0" w:sz="4" w:val="single"/>
              <w:right w:color="000000" w:space="0" w:sz="4" w:val="single"/>
            </w:tcBorders>
          </w:tcPr>
          <w:p w:rsidR="00000000" w:rsidDel="00000000" w:rsidP="00000000" w:rsidRDefault="00000000" w:rsidRPr="00000000" w14:paraId="0000002C">
            <w:pPr>
              <w:keepNext w:val="1"/>
              <w:pBdr>
                <w:top w:space="0" w:sz="0" w:val="nil"/>
                <w:left w:space="0" w:sz="0" w:val="nil"/>
                <w:bottom w:space="0" w:sz="0" w:val="nil"/>
                <w:right w:space="0" w:sz="0" w:val="nil"/>
                <w:between w:space="0" w:sz="0" w:val="nil"/>
              </w:pBdr>
              <w:shd w:fill="auto" w:val="clear"/>
              <w:spacing w:after="120" w:before="240" w:line="240" w:lineRule="auto"/>
              <w:ind w:left="142" w:firstLine="0"/>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[T&amp;M]</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02D">
            <w:pPr>
              <w:widowControl w:val="0"/>
              <w:pBdr>
                <w:top w:space="0" w:sz="0" w:val="nil"/>
                <w:left w:space="0" w:sz="0" w:val="nil"/>
                <w:bottom w:space="0" w:sz="0" w:val="nil"/>
                <w:right w:space="0" w:sz="0" w:val="nil"/>
                <w:between w:space="0" w:sz="0" w:val="nil"/>
              </w:pBdr>
              <w:shd w:fill="auto" w:val="clear"/>
              <w:spacing w:after="0" w:line="276" w:lineRule="auto"/>
              <w:ind w:left="0" w:firstLine="0"/>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Consultant</w:t>
            </w:r>
            <w:r w:rsidDel="00000000" w:rsidR="00000000" w:rsidRPr="00000000">
              <w:rPr>
                <w:rtl w:val="0"/>
              </w:rPr>
            </w:r>
          </w:p>
        </w:tc>
        <w:tc>
          <w:tcPr>
            <w:tcBorders>
              <w:top w:color="000000" w:space="0" w:sz="4" w:val="single"/>
              <w:left w:color="000000" w:space="0" w:sz="6" w:val="single"/>
              <w:bottom w:color="000000" w:space="0" w:sz="4" w:val="single"/>
              <w:right w:color="000000" w:space="0" w:sz="4" w:val="single"/>
            </w:tcBorders>
          </w:tcPr>
          <w:p w:rsidR="00000000" w:rsidDel="00000000" w:rsidP="00000000" w:rsidRDefault="00000000" w:rsidRPr="00000000" w14:paraId="0000002E">
            <w:pPr>
              <w:keepNext w:val="1"/>
              <w:pBdr>
                <w:top w:space="0" w:sz="0" w:val="nil"/>
                <w:left w:space="0" w:sz="0" w:val="nil"/>
                <w:bottom w:space="0" w:sz="0" w:val="nil"/>
                <w:right w:space="0" w:sz="0" w:val="nil"/>
                <w:between w:space="0" w:sz="0" w:val="nil"/>
              </w:pBdr>
              <w:shd w:fill="auto" w:val="clear"/>
              <w:spacing w:after="120" w:before="240" w:line="240" w:lineRule="auto"/>
              <w:ind w:left="142" w:firstLine="0"/>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[T&amp;M]</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02F">
            <w:pPr>
              <w:widowControl w:val="0"/>
              <w:pBdr>
                <w:top w:space="0" w:sz="0" w:val="nil"/>
                <w:left w:space="0" w:sz="0" w:val="nil"/>
                <w:bottom w:space="0" w:sz="0" w:val="nil"/>
                <w:right w:space="0" w:sz="0" w:val="nil"/>
                <w:between w:space="0" w:sz="0" w:val="nil"/>
              </w:pBdr>
              <w:shd w:fill="auto" w:val="clear"/>
              <w:spacing w:after="0" w:line="276" w:lineRule="auto"/>
              <w:ind w:left="0" w:firstLine="0"/>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Analyst / Junior Consultant</w:t>
            </w:r>
            <w:r w:rsidDel="00000000" w:rsidR="00000000" w:rsidRPr="00000000">
              <w:rPr>
                <w:rtl w:val="0"/>
              </w:rPr>
            </w:r>
          </w:p>
        </w:tc>
        <w:tc>
          <w:tcPr>
            <w:tcBorders>
              <w:top w:color="000000" w:space="0" w:sz="4" w:val="single"/>
              <w:left w:color="000000" w:space="0" w:sz="6" w:val="single"/>
              <w:bottom w:color="000000" w:space="0" w:sz="4" w:val="single"/>
              <w:right w:color="000000" w:space="0" w:sz="4" w:val="single"/>
            </w:tcBorders>
          </w:tcPr>
          <w:p w:rsidR="00000000" w:rsidDel="00000000" w:rsidP="00000000" w:rsidRDefault="00000000" w:rsidRPr="00000000" w14:paraId="00000030">
            <w:pPr>
              <w:keepNext w:val="1"/>
              <w:pBdr>
                <w:top w:space="0" w:sz="0" w:val="nil"/>
                <w:left w:space="0" w:sz="0" w:val="nil"/>
                <w:bottom w:space="0" w:sz="0" w:val="nil"/>
                <w:right w:space="0" w:sz="0" w:val="nil"/>
                <w:between w:space="0" w:sz="0" w:val="nil"/>
              </w:pBdr>
              <w:shd w:fill="auto" w:val="clear"/>
              <w:spacing w:after="120" w:before="240" w:line="240" w:lineRule="auto"/>
              <w:ind w:left="142" w:firstLine="0"/>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[T&amp;M]</w:t>
            </w:r>
            <w:r w:rsidDel="00000000" w:rsidR="00000000" w:rsidRPr="00000000">
              <w:rPr>
                <w:rtl w:val="0"/>
              </w:rPr>
            </w:r>
          </w:p>
        </w:tc>
      </w:tr>
    </w:tbl>
    <w:p w:rsidR="00000000" w:rsidDel="00000000" w:rsidP="00000000" w:rsidRDefault="00000000" w:rsidRPr="00000000" w14:paraId="00000031">
      <w:pPr>
        <w:keepNext w:val="1"/>
        <w:keepLines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Table 2: Fixed Prices</w:t>
      </w:r>
      <w:r w:rsidDel="00000000" w:rsidR="00000000" w:rsidRPr="00000000">
        <w:rPr>
          <w:rtl w:val="0"/>
        </w:rPr>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rates of services below shall not be subject to variation by way of Indexation</w:t>
      </w:r>
      <w:r w:rsidDel="00000000" w:rsidR="00000000" w:rsidRPr="00000000">
        <w:rPr>
          <w:rtl w:val="0"/>
        </w:rPr>
      </w:r>
    </w:p>
    <w:tbl>
      <w:tblPr>
        <w:tblStyle w:val="Table2"/>
        <w:tblW w:w="9016.0" w:type="dxa"/>
        <w:jc w:val="left"/>
        <w:tblInd w:w="0.0" w:type="dxa"/>
        <w:tblBorders>
          <w:top w:color="808080" w:space="0" w:sz="4" w:val="single"/>
          <w:left w:color="808080" w:space="0" w:sz="4" w:val="single"/>
          <w:bottom w:color="808080" w:space="0" w:sz="4" w:val="single"/>
          <w:right w:color="808080" w:space="0" w:sz="4" w:val="single"/>
          <w:insideH w:color="808080" w:space="0" w:sz="4" w:val="single"/>
          <w:insideV w:color="808080" w:space="0" w:sz="4" w:val="single"/>
        </w:tblBorders>
        <w:tblLayout w:type="fixed"/>
        <w:tblLook w:val="0000"/>
      </w:tblPr>
      <w:tblGrid>
        <w:gridCol w:w="4508"/>
        <w:gridCol w:w="4508"/>
        <w:tblGridChange w:id="0">
          <w:tblGrid>
            <w:gridCol w:w="4508"/>
            <w:gridCol w:w="4508"/>
          </w:tblGrid>
        </w:tblGridChange>
      </w:tblGrid>
      <w:tr>
        <w:tc>
          <w:tcPr>
            <w:shd w:fill="548dd4" w:val="clear"/>
          </w:tcPr>
          <w:p w:rsidR="00000000" w:rsidDel="00000000" w:rsidP="00000000" w:rsidRDefault="00000000" w:rsidRPr="00000000" w14:paraId="00000033">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Price</w:t>
            </w:r>
          </w:p>
        </w:tc>
        <w:tc>
          <w:tcPr>
            <w:shd w:fill="548dd4" w:val="clear"/>
          </w:tcPr>
          <w:p w:rsidR="00000000" w:rsidDel="00000000" w:rsidP="00000000" w:rsidRDefault="00000000" w:rsidRPr="00000000" w14:paraId="00000034">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Fixed Framework Price (£)</w:t>
            </w:r>
          </w:p>
        </w:tc>
      </w:tr>
      <w:tr>
        <w:tc>
          <w:tcPr/>
          <w:p w:rsidR="00000000" w:rsidDel="00000000" w:rsidP="00000000" w:rsidRDefault="00000000" w:rsidRPr="00000000" w14:paraId="00000035">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[e.g. fixed price 1]</w:t>
            </w:r>
          </w:p>
        </w:tc>
        <w:tc>
          <w:tcPr>
            <w:shd w:fill="ffffff" w:val="clear"/>
          </w:tcPr>
          <w:p w:rsidR="00000000" w:rsidDel="00000000" w:rsidP="00000000" w:rsidRDefault="00000000" w:rsidRPr="00000000" w14:paraId="00000036">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c>
          <w:tcPr/>
          <w:p w:rsidR="00000000" w:rsidDel="00000000" w:rsidP="00000000" w:rsidRDefault="00000000" w:rsidRPr="00000000" w14:paraId="00000037">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[e.g. fixed price 2]</w:t>
            </w:r>
          </w:p>
        </w:tc>
        <w:tc>
          <w:tcPr>
            <w:shd w:fill="ffffff" w:val="clear"/>
          </w:tcPr>
          <w:p w:rsidR="00000000" w:rsidDel="00000000" w:rsidP="00000000" w:rsidRDefault="00000000" w:rsidRPr="00000000" w14:paraId="00000038">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39">
      <w:pPr>
        <w:keepNext w:val="1"/>
        <w:keepLines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3A">
      <w:pPr>
        <w:keepNext w:val="1"/>
        <w:keepLines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3B">
      <w:pPr>
        <w:keepNext w:val="1"/>
        <w:keepLines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Table 3: Volume Based Prices</w:t>
      </w:r>
    </w:p>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rates below shall not be subject to variation by way of Indexation</w:t>
      </w:r>
      <w:r w:rsidDel="00000000" w:rsidR="00000000" w:rsidRPr="00000000">
        <w:rPr>
          <w:rtl w:val="0"/>
        </w:rPr>
      </w:r>
    </w:p>
    <w:tbl>
      <w:tblPr>
        <w:tblStyle w:val="Table3"/>
        <w:tblW w:w="9016.0" w:type="dxa"/>
        <w:jc w:val="left"/>
        <w:tblInd w:w="0.0" w:type="dxa"/>
        <w:tblBorders>
          <w:top w:color="808080" w:space="0" w:sz="4" w:val="single"/>
          <w:left w:color="808080" w:space="0" w:sz="4" w:val="single"/>
          <w:bottom w:color="808080" w:space="0" w:sz="4" w:val="single"/>
          <w:right w:color="808080" w:space="0" w:sz="4" w:val="single"/>
          <w:insideH w:color="808080" w:space="0" w:sz="4" w:val="single"/>
          <w:insideV w:color="808080" w:space="0" w:sz="4" w:val="single"/>
        </w:tblBorders>
        <w:tblLayout w:type="fixed"/>
        <w:tblLook w:val="0000"/>
      </w:tblPr>
      <w:tblGrid>
        <w:gridCol w:w="2254"/>
        <w:gridCol w:w="2254"/>
        <w:gridCol w:w="2254"/>
        <w:gridCol w:w="2254"/>
        <w:tblGridChange w:id="0">
          <w:tblGrid>
            <w:gridCol w:w="2254"/>
            <w:gridCol w:w="2254"/>
            <w:gridCol w:w="2254"/>
            <w:gridCol w:w="2254"/>
          </w:tblGrid>
        </w:tblGridChange>
      </w:tblGrid>
      <w:tr>
        <w:tc>
          <w:tcPr>
            <w:shd w:fill="548dd4" w:val="clear"/>
          </w:tcPr>
          <w:p w:rsidR="00000000" w:rsidDel="00000000" w:rsidP="00000000" w:rsidRDefault="00000000" w:rsidRPr="00000000" w14:paraId="0000003D">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Price Number</w:t>
            </w:r>
          </w:p>
        </w:tc>
        <w:tc>
          <w:tcPr>
            <w:shd w:fill="548dd4" w:val="clear"/>
          </w:tcPr>
          <w:p w:rsidR="00000000" w:rsidDel="00000000" w:rsidP="00000000" w:rsidRDefault="00000000" w:rsidRPr="00000000" w14:paraId="0000003E">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Unit</w:t>
            </w:r>
          </w:p>
        </w:tc>
        <w:tc>
          <w:tcPr>
            <w:shd w:fill="548dd4" w:val="clear"/>
          </w:tcPr>
          <w:p w:rsidR="00000000" w:rsidDel="00000000" w:rsidP="00000000" w:rsidRDefault="00000000" w:rsidRPr="00000000" w14:paraId="0000003F">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Number of units per Service Period</w:t>
            </w:r>
          </w:p>
        </w:tc>
        <w:tc>
          <w:tcPr>
            <w:shd w:fill="548dd4" w:val="clear"/>
          </w:tcPr>
          <w:p w:rsidR="00000000" w:rsidDel="00000000" w:rsidP="00000000" w:rsidRDefault="00000000" w:rsidRPr="00000000" w14:paraId="00000040">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Charge per unit (£)</w:t>
            </w:r>
          </w:p>
        </w:tc>
      </w:tr>
      <w:tr>
        <w:tc>
          <w:tcPr>
            <w:vMerge w:val="restart"/>
          </w:tcPr>
          <w:p w:rsidR="00000000" w:rsidDel="00000000" w:rsidP="00000000" w:rsidRDefault="00000000" w:rsidRPr="00000000" w14:paraId="00000041">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[e.g. volume based price 1]</w:t>
            </w:r>
          </w:p>
        </w:tc>
        <w:tc>
          <w:tcPr>
            <w:vMerge w:val="restart"/>
          </w:tcPr>
          <w:p w:rsidR="00000000" w:rsidDel="00000000" w:rsidP="00000000" w:rsidRDefault="00000000" w:rsidRPr="00000000" w14:paraId="00000042">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43">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 - [         ]</w:t>
            </w:r>
          </w:p>
        </w:tc>
        <w:tc>
          <w:tcPr/>
          <w:p w:rsidR="00000000" w:rsidDel="00000000" w:rsidP="00000000" w:rsidRDefault="00000000" w:rsidRPr="00000000" w14:paraId="00000044">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tc>
      </w:tr>
      <w:tr>
        <w:trPr>
          <w:trHeight w:val="701" w:hRule="atLeast"/>
        </w:trPr>
        <w:tc>
          <w:tcPr>
            <w:vMerge w:val="continue"/>
          </w:tcPr>
          <w:p w:rsidR="00000000" w:rsidDel="00000000" w:rsidP="00000000" w:rsidRDefault="00000000" w:rsidRPr="00000000" w14:paraId="0000004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04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47">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 - [         ]</w:t>
            </w:r>
          </w:p>
        </w:tc>
        <w:tc>
          <w:tcPr/>
          <w:p w:rsidR="00000000" w:rsidDel="00000000" w:rsidP="00000000" w:rsidRDefault="00000000" w:rsidRPr="00000000" w14:paraId="00000048">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tc>
      </w:tr>
      <w:tr>
        <w:tc>
          <w:tcPr>
            <w:vMerge w:val="restart"/>
          </w:tcPr>
          <w:p w:rsidR="00000000" w:rsidDel="00000000" w:rsidP="00000000" w:rsidRDefault="00000000" w:rsidRPr="00000000" w14:paraId="00000049">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[e.g. volume based price 2]</w:t>
            </w:r>
          </w:p>
        </w:tc>
        <w:tc>
          <w:tcPr>
            <w:vMerge w:val="restart"/>
          </w:tcPr>
          <w:p w:rsidR="00000000" w:rsidDel="00000000" w:rsidP="00000000" w:rsidRDefault="00000000" w:rsidRPr="00000000" w14:paraId="0000004A">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4B">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 - [         ]</w:t>
            </w:r>
          </w:p>
        </w:tc>
        <w:tc>
          <w:tcPr/>
          <w:p w:rsidR="00000000" w:rsidDel="00000000" w:rsidP="00000000" w:rsidRDefault="00000000" w:rsidRPr="00000000" w14:paraId="0000004C">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tc>
      </w:tr>
      <w:tr>
        <w:tc>
          <w:tcPr>
            <w:vMerge w:val="continue"/>
          </w:tcPr>
          <w:p w:rsidR="00000000" w:rsidDel="00000000" w:rsidP="00000000" w:rsidRDefault="00000000" w:rsidRPr="00000000" w14:paraId="0000004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04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4F">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 - [         ]</w:t>
            </w:r>
          </w:p>
        </w:tc>
        <w:tc>
          <w:tcPr/>
          <w:p w:rsidR="00000000" w:rsidDel="00000000" w:rsidP="00000000" w:rsidRDefault="00000000" w:rsidRPr="00000000" w14:paraId="00000050">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tc>
      </w:tr>
    </w:tbl>
    <w:p w:rsidR="00000000" w:rsidDel="00000000" w:rsidP="00000000" w:rsidRDefault="00000000" w:rsidRPr="00000000" w14:paraId="00000051">
      <w:pPr>
        <w:spacing w:after="120" w:before="240" w:line="240" w:lineRule="auto"/>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4"/>
        <w:jc w:val="left"/>
        <w:tblInd w:w="-115.0" w:type="dxa"/>
        <w:tblBorders>
          <w:top w:color="808080" w:space="0" w:sz="4" w:val="single"/>
          <w:left w:color="808080" w:space="0" w:sz="4" w:val="single"/>
          <w:bottom w:color="808080" w:space="0" w:sz="4" w:val="single"/>
          <w:right w:color="808080" w:space="0" w:sz="4" w:val="single"/>
          <w:insideH w:color="808080" w:space="0" w:sz="4" w:val="single"/>
          <w:insideV w:color="808080" w:space="0" w:sz="4" w:val="single"/>
        </w:tblBorders>
        <w:tblLayout w:type="fixed"/>
        <w:tblLook w:val="0000"/>
      </w:tblPr>
      <w:tblGrid>
        <w:gridCol w:w="9026"/>
        <w:tblGridChange w:id="0">
          <w:tblGrid>
            <w:gridCol w:w="9026"/>
          </w:tblGrid>
        </w:tblGridChange>
      </w:tblGrid>
    </w:tbl>
    <w:p w:rsidR="00000000" w:rsidDel="00000000" w:rsidP="00000000" w:rsidRDefault="00000000" w:rsidRPr="00000000" w14:paraId="00000052">
      <w:pPr>
        <w:rPr>
          <w:rFonts w:ascii="Arial" w:cs="Arial" w:eastAsia="Arial" w:hAnsi="Arial"/>
          <w:b w:val="1"/>
          <w:sz w:val="24"/>
          <w:szCs w:val="24"/>
        </w:rPr>
      </w:pPr>
      <w:r w:rsidDel="00000000" w:rsidR="00000000" w:rsidRPr="00000000">
        <w:rPr>
          <w:rtl w:val="0"/>
        </w:rPr>
      </w:r>
    </w:p>
    <w:sectPr>
      <w:footerReference r:id="rId7" w:type="default"/>
      <w:pgSz w:h="16838" w:w="11906" w:orient="portrait"/>
      <w:pgMar w:bottom="1440" w:top="1888"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3">
    <w:pPr>
      <w:rPr>
        <w:rFonts w:ascii="Arial" w:cs="Arial" w:eastAsia="Arial" w:hAnsi="Arial"/>
      </w:rPr>
    </w:pPr>
    <w:r w:rsidDel="00000000" w:rsidR="00000000" w:rsidRPr="00000000">
      <w:rPr>
        <w:rFonts w:ascii="Arial" w:cs="Arial" w:eastAsia="Arial" w:hAnsi="Arial"/>
        <w:rtl w:val="0"/>
      </w:rPr>
      <w:t xml:space="preserve">Framework Ref: RM6187</w:t>
      <w:tab/>
      <w:t xml:space="preserve">                                           </w:t>
    </w:r>
  </w:p>
  <w:p w:rsidR="00000000" w:rsidDel="00000000" w:rsidP="00000000" w:rsidRDefault="00000000" w:rsidRPr="00000000" w14:paraId="00000054">
    <w:pPr>
      <w:rPr>
        <w:rFonts w:ascii="Arial" w:cs="Arial" w:eastAsia="Arial" w:hAnsi="Arial"/>
      </w:rPr>
    </w:pPr>
    <w:r w:rsidDel="00000000" w:rsidR="00000000" w:rsidRPr="00000000">
      <w:rPr>
        <w:rFonts w:ascii="Arial" w:cs="Arial" w:eastAsia="Arial" w:hAnsi="Arial"/>
        <w:rtl w:val="0"/>
      </w:rPr>
      <w:t xml:space="preserve">Project Version: v1.0</w:t>
      <w:tab/>
      <w:tab/>
      <w:t xml:space="preserve"> </w:t>
      <w:tab/>
      <w:tab/>
      <w:tab/>
      <w:tab/>
      <w:tab/>
      <w:tab/>
      <w:tab/>
      <w:tab/>
      <w:t xml:space="preserve">1</w:t>
    </w:r>
  </w:p>
  <w:p w:rsidR="00000000" w:rsidDel="00000000" w:rsidP="00000000" w:rsidRDefault="00000000" w:rsidRPr="00000000" w14:paraId="00000055">
    <w:pPr>
      <w:rPr>
        <w:rFonts w:ascii="Arial" w:cs="Arial" w:eastAsia="Arial" w:hAnsi="Arial"/>
      </w:rPr>
    </w:pPr>
    <w:r w:rsidDel="00000000" w:rsidR="00000000" w:rsidRPr="00000000">
      <w:rPr>
        <w:rFonts w:ascii="Arial" w:cs="Arial" w:eastAsia="Arial" w:hAnsi="Arial"/>
        <w:rtl w:val="0"/>
      </w:rPr>
      <w:t xml:space="preserve">Model Version: v3.7</w:t>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0"/>
        <w:smallCaps w:val="0"/>
        <w:strike w:val="0"/>
        <w:color w:val="000000"/>
        <w:sz w:val="24"/>
        <w:szCs w:val="24"/>
        <w:u w:val="none"/>
        <w:vertAlign w:val="baseline"/>
      </w:rPr>
    </w:lvl>
    <w:lvl w:ilvl="1">
      <w:start w:val="1"/>
      <w:numFmt w:val="decimal"/>
      <w:lvlText w:val="%1.%2"/>
      <w:lvlJc w:val="left"/>
      <w:pPr>
        <w:ind w:left="644" w:hanging="359.9999999999998"/>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990" w:firstLine="143.858267716535"/>
      </w:pPr>
      <w:rPr>
        <w:b w:val="0"/>
        <w:i w:val="0"/>
        <w:smallCaps w:val="0"/>
        <w:strike w:val="0"/>
        <w:color w:val="000000"/>
        <w:sz w:val="24"/>
        <w:szCs w:val="24"/>
        <w:u w:val="none"/>
        <w:vertAlign w:val="baseline"/>
      </w:rPr>
    </w:lvl>
    <w:lvl w:ilvl="3">
      <w:start w:val="1"/>
      <w:numFmt w:val="lowerLetter"/>
      <w:lvlText w:val="(%4)"/>
      <w:lvlJc w:val="left"/>
      <w:pPr>
        <w:ind w:left="3272"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character" w:styleId="Emphasis">
    <w:name w:val="Emphasis"/>
    <w:basedOn w:val="DefaultParagraphFont"/>
    <w:rPr>
      <w:i w:val="1"/>
      <w:iCs w:val="1"/>
    </w:rPr>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paragraph" w:styleId="GPSL1CLAUSEHEADING" w:customStyle="1">
    <w:name w:val="GPS L1 CLAUSE HEADING"/>
    <w:basedOn w:val="Normal"/>
    <w:next w:val="Normal"/>
    <w:qFormat w:val="1"/>
    <w:pPr>
      <w:numPr>
        <w:numId w:val="1"/>
      </w:numPr>
      <w:tabs>
        <w:tab w:val="left" w:pos="0"/>
      </w:tabs>
      <w:adjustRightInd w:val="0"/>
      <w:spacing w:after="240" w:before="240" w:line="240" w:lineRule="auto"/>
      <w:ind w:left="644"/>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left" w:pos="1134"/>
      </w:tabs>
      <w:adjustRightInd w:val="0"/>
      <w:spacing w:after="120" w:before="120" w:line="240" w:lineRule="auto"/>
      <w:jc w:val="both"/>
    </w:pPr>
    <w:rPr>
      <w:rFonts w:ascii="Calibri" w:cs="Arial" w:eastAsia="Times New Roman" w:hAnsi="Calibri"/>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ind w:left="2592" w:hanging="936"/>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2Indent" w:customStyle="1">
    <w:name w:val="GPS L2 Indent"/>
    <w:basedOn w:val="GPSL2numberedclause"/>
    <w:link w:val="GPSL2IndentChar"/>
    <w:qFormat w:val="1"/>
    <w:pPr>
      <w:numPr>
        <w:ilvl w:val="0"/>
        <w:numId w:val="0"/>
      </w:numPr>
      <w:tabs>
        <w:tab w:val="clear" w:pos="1134"/>
        <w:tab w:val="left" w:pos="709"/>
        <w:tab w:val="left" w:pos="2127"/>
      </w:tabs>
      <w:ind w:left="709"/>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character" w:styleId="GPSL2IndentChar" w:customStyle="1">
    <w:name w:val="GPS L2 Indent Char"/>
    <w:link w:val="GPSL2Indent"/>
    <w:rPr>
      <w:rFonts w:ascii="Calibri" w:cs="Arial" w:eastAsia="Times New Roman" w:hAnsi="Calibri"/>
      <w:lang w:eastAsia="zh-CN"/>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link w:val="GPSDefinitionL2Char"/>
    <w:qFormat w:val="1"/>
    <w:pPr>
      <w:numPr>
        <w:ilvl w:val="1"/>
      </w:numPr>
      <w:tabs>
        <w:tab w:val="clear" w:pos="-9"/>
        <w:tab w:val="left" w:pos="144"/>
      </w:tabs>
      <w:ind w:hanging="545"/>
    </w:pPr>
  </w:style>
  <w:style w:type="character" w:styleId="GPSDefinitionL2Char" w:customStyle="1">
    <w:name w:val="GPS Definition L2 Char"/>
    <w:link w:val="GPSDefinitionL2"/>
    <w:rPr>
      <w:rFonts w:ascii="Arial" w:cs="Arial" w:eastAsia="Times New Roman" w:hAnsi="Arial"/>
    </w:rPr>
  </w:style>
  <w:style w:type="paragraph" w:styleId="GPSDefinitionL3" w:customStyle="1">
    <w:name w:val="GPS Definition L3"/>
    <w:basedOn w:val="GPSDefinitionL2"/>
    <w:qFormat w:val="1"/>
    <w:pPr>
      <w:numPr>
        <w:ilvl w:val="2"/>
      </w:numPr>
      <w:tabs>
        <w:tab w:val="num" w:pos="360"/>
      </w:tabs>
    </w:pPr>
  </w:style>
  <w:style w:type="paragraph" w:styleId="GPSDefinitionL4" w:customStyle="1">
    <w:name w:val="GPS Definition L4"/>
    <w:basedOn w:val="GPSDefinitionL3"/>
    <w:qFormat w:val="1"/>
    <w:pPr>
      <w:numPr>
        <w:ilvl w:val="3"/>
      </w:numPr>
      <w:tabs>
        <w:tab w:val="num" w:pos="360"/>
      </w:tabs>
    </w:pPr>
  </w:style>
  <w:style w:type="paragraph" w:styleId="GPSL2Guidance" w:customStyle="1">
    <w:name w:val="GPS L2 Guidance"/>
    <w:basedOn w:val="GPSL2numberedclause"/>
    <w:link w:val="GPSL2GuidanceChar"/>
    <w:qFormat w:val="1"/>
    <w:pPr>
      <w:numPr>
        <w:ilvl w:val="0"/>
        <w:numId w:val="0"/>
      </w:numPr>
      <w:ind w:left="1134"/>
    </w:pPr>
    <w:rPr>
      <w:b w:val="1"/>
      <w:i w:val="1"/>
    </w:rPr>
  </w:style>
  <w:style w:type="character" w:styleId="GPSL2GuidanceChar" w:customStyle="1">
    <w:name w:val="GPS L2 Guidance Char"/>
    <w:link w:val="GPSL2Guidance"/>
    <w:rPr>
      <w:rFonts w:ascii="Calibri" w:cs="Arial" w:eastAsia="Times New Roman" w:hAnsi="Calibri"/>
      <w:b w:val="1"/>
      <w:i w:val="1"/>
      <w:lang w:eastAsia="zh-CN"/>
    </w:rPr>
  </w:style>
  <w:style w:type="paragraph" w:styleId="GPSL1SCHEDULEHeading" w:customStyle="1">
    <w:name w:val="GPS L1 SCHEDULE Heading"/>
    <w:basedOn w:val="GPSL1CLAUSEHEADING"/>
    <w:link w:val="GPSL1SCHEDULEHeadingChar"/>
    <w:autoRedefine w:val="1"/>
    <w:rsid w:val="003C776E"/>
    <w:pPr>
      <w:tabs>
        <w:tab w:val="clear" w:pos="0"/>
        <w:tab w:val="left" w:pos="142"/>
      </w:tabs>
      <w:spacing w:before="120"/>
      <w:ind w:left="360"/>
      <w:outlineLvl w:val="9"/>
    </w:pPr>
    <w:rPr>
      <w:rFonts w:ascii="Arial" w:hAnsi="Arial"/>
      <w:caps w:val="0"/>
      <w:sz w:val="24"/>
    </w:rPr>
  </w:style>
  <w:style w:type="character" w:styleId="GPSL1SCHEDULEHeadingChar" w:customStyle="1">
    <w:name w:val="GPS L1 SCHEDULE Heading Char"/>
    <w:link w:val="GPSL1SCHEDULEHeading"/>
    <w:rsid w:val="003C776E"/>
    <w:rPr>
      <w:rFonts w:ascii="Arial" w:cs="Arial" w:eastAsia="STZhongsong" w:hAnsi="Arial"/>
      <w:b w:val="1"/>
      <w:sz w:val="24"/>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SchAnnexname" w:customStyle="1">
    <w:name w:val="GPS Sch Annex name"/>
    <w:basedOn w:val="Normal"/>
    <w:link w:val="GPSSchAnnexnameChar"/>
    <w:qFormat w:val="1"/>
    <w:pPr>
      <w:keepNext w:val="1"/>
      <w:adjustRightInd w:val="0"/>
      <w:spacing w:after="240" w:line="240" w:lineRule="auto"/>
      <w:jc w:val="center"/>
      <w:outlineLvl w:val="1"/>
    </w:pPr>
    <w:rPr>
      <w:rFonts w:ascii="Calibri" w:cs="Times New Roman" w:eastAsia="STZhongsong" w:hAnsi="Calibri"/>
      <w:b w:val="1"/>
      <w:caps w:val="1"/>
      <w:sz w:val="20"/>
      <w:lang w:eastAsia="zh-CN"/>
    </w:r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character" w:styleId="Heading6Char5" w:customStyle="1">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val="1"/>
    <w:locked w:val="1"/>
    <w:rPr>
      <w:rFonts w:ascii="Calibri" w:hAnsi="Calibri"/>
      <w:b w:val="1"/>
      <w:lang w:eastAsia="en-GB" w:val="x-none"/>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Calibri" w:cs="Times New Roman" w:eastAsia="STZhongsong" w:hAnsi="Calibri"/>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2NumberedBoldHeading" w:customStyle="1">
    <w:name w:val="GPS L2 Numbered Bold Heading"/>
    <w:basedOn w:val="Normal"/>
    <w:link w:val="GPSL2NumberedBoldHeadingChar"/>
    <w:qFormat w:val="1"/>
    <w:pPr>
      <w:tabs>
        <w:tab w:val="left" w:pos="1134"/>
      </w:tabs>
      <w:adjustRightInd w:val="0"/>
      <w:spacing w:after="120" w:before="120" w:line="240" w:lineRule="auto"/>
      <w:ind w:left="644" w:hanging="218"/>
      <w:jc w:val="both"/>
    </w:pPr>
    <w:rPr>
      <w:rFonts w:ascii="Calibri" w:cs="Arial" w:eastAsia="Times New Roman" w:hAnsi="Calibri"/>
      <w:b w:val="1"/>
      <w:lang w:eastAsia="zh-CN"/>
    </w:r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ascii="Calibri" w:cs="Arial" w:eastAsia="Times New Roman" w:hAnsi="Calibri"/>
      <w:b w:val="1"/>
      <w:i w:val="1"/>
    </w:rPr>
  </w:style>
  <w:style w:type="paragraph" w:styleId="GPSL2GuidanceNumbered" w:customStyle="1">
    <w:name w:val="GPS L2 Guidance Numbered"/>
    <w:basedOn w:val="Normal"/>
    <w:link w:val="GPSL2GuidanceNumberedChar"/>
    <w:qFormat w:val="1"/>
    <w:pPr>
      <w:numPr>
        <w:numId w:val="3"/>
      </w:numPr>
      <w:tabs>
        <w:tab w:val="left" w:pos="1418"/>
      </w:tabs>
      <w:adjustRightInd w:val="0"/>
      <w:spacing w:after="120" w:before="120" w:line="240" w:lineRule="auto"/>
      <w:jc w:val="both"/>
    </w:pPr>
    <w:rPr>
      <w:rFonts w:ascii="Calibri" w:cs="Arial" w:eastAsia="Times New Roman" w:hAnsi="Calibri"/>
      <w:b w:val="1"/>
      <w:i w:val="1"/>
      <w:lang w:eastAsia="zh-CN"/>
    </w:rPr>
  </w:style>
  <w:style w:type="paragraph" w:styleId="GPSL3Guidance" w:customStyle="1">
    <w:name w:val="GPS L3 Guidance"/>
    <w:basedOn w:val="GPSL3numberedclause"/>
    <w:link w:val="GPSL3GuidanceChar"/>
    <w:qFormat w:val="1"/>
    <w:pPr>
      <w:numPr>
        <w:ilvl w:val="0"/>
        <w:numId w:val="0"/>
      </w:numPr>
      <w:tabs>
        <w:tab w:val="clear" w:pos="2127"/>
      </w:tabs>
      <w:ind w:left="1985"/>
    </w:pPr>
    <w:rPr>
      <w:b w:val="1"/>
      <w:i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Calibri" w:cs="Arial" w:eastAsia="Times New Roman" w:hAnsi="Calibri"/>
      <w:color w:val="ffffff"/>
      <w:sz w:val="16"/>
      <w:szCs w:val="16"/>
    </w:rPr>
  </w:style>
  <w:style w:type="paragraph" w:styleId="GPSSchPart" w:customStyle="1">
    <w:name w:val="GPS Sch Part"/>
    <w:basedOn w:val="GPSSchAnnexname"/>
    <w:link w:val="GPSSchPartChar"/>
    <w:qFormat w:val="1"/>
    <w:pPr>
      <w:spacing w:before="240"/>
      <w:ind w:firstLine="426"/>
      <w:outlineLvl w:val="9"/>
    </w:pPr>
    <w:rPr>
      <w:rFonts w:ascii="Arial Bold" w:hAnsi="Arial Bold"/>
      <w:sz w:val="22"/>
    </w:rPr>
  </w:style>
  <w:style w:type="paragraph" w:styleId="GPSL2Numbered" w:customStyle="1">
    <w:name w:val="GPS L2 Numbered"/>
    <w:basedOn w:val="GPSL2NumberedBoldHeading"/>
    <w:link w:val="GPSL2NumberedChar"/>
    <w:qFormat w:val="1"/>
    <w:pPr>
      <w:tabs>
        <w:tab w:val="left" w:pos="709"/>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4Guidance" w:customStyle="1">
    <w:name w:val="GPS L4 Guidance"/>
    <w:basedOn w:val="GPSL3Guidance"/>
    <w:link w:val="GPSL4GuidanceChar"/>
    <w:qFormat w:val="1"/>
  </w:style>
  <w:style w:type="character" w:styleId="GPSL4GuidanceChar" w:customStyle="1">
    <w:name w:val="GPS L4 Guidance Char"/>
    <w:link w:val="GPSL4Guidance"/>
    <w:locked w:val="1"/>
    <w:rPr>
      <w:rFonts w:ascii="Calibri" w:cs="Arial" w:eastAsia="Times New Roman" w:hAnsi="Calibri"/>
      <w:b w:val="1"/>
      <w:i w:val="1"/>
      <w:lang w:eastAsia="zh-CN"/>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L2GuidanceNumberedChar" w:customStyle="1">
    <w:name w:val="GPS L2 Guidance Numbered Char"/>
    <w:link w:val="GPSL2GuidanceNumbered"/>
    <w:rPr>
      <w:rFonts w:ascii="Calibri" w:cs="Arial" w:eastAsia="Times New Roman" w:hAnsi="Calibri"/>
      <w:b w:val="1"/>
      <w:i w:val="1"/>
      <w:lang w:eastAsia="zh-CN"/>
    </w:rPr>
  </w:style>
  <w:style w:type="character" w:styleId="GPSL3GuidanceChar" w:customStyle="1">
    <w:name w:val="GPS L3 Guidance Char"/>
    <w:link w:val="GPSL3Guidance"/>
    <w:rPr>
      <w:rFonts w:ascii="Calibri" w:cs="Arial" w:eastAsia="Times New Roman" w:hAnsi="Calibri"/>
      <w:b w:val="1"/>
      <w:i w:val="1"/>
      <w:lang w:eastAsia="zh-CN"/>
    </w:rPr>
  </w:style>
  <w:style w:type="character" w:styleId="GPSSchPartChar" w:customStyle="1">
    <w:name w:val="GPS Sch Part Char"/>
    <w:link w:val="GPSSchPart"/>
    <w:rPr>
      <w:rFonts w:ascii="Arial Bold" w:cs="Times New Roman" w:eastAsia="STZhongsong" w:hAnsi="Arial Bold"/>
      <w:b w:val="1"/>
      <w:caps w:val="1"/>
      <w:lang w:eastAsia="zh-CN"/>
    </w:rPr>
  </w:style>
  <w:style w:type="character" w:styleId="Hyperlink">
    <w:name w:val="Hyperlink"/>
    <w:basedOn w:val="DefaultParagraphFont"/>
    <w:uiPriority w:val="99"/>
    <w:unhideWhenUsed w:val="1"/>
    <w:rPr>
      <w:color w:val="0000ff" w:themeColor="hyperlink"/>
      <w:u w:val="single"/>
    </w:rPr>
  </w:style>
  <w:style w:type="paragraph" w:styleId="Normal1" w:customStyle="1">
    <w:name w:val="Normal1"/>
    <w:pPr>
      <w:widowControl w:val="0"/>
      <w:spacing w:after="80" w:line="240" w:lineRule="auto"/>
    </w:pPr>
    <w:rPr>
      <w:rFonts w:ascii="Calibri" w:cs="Calibri" w:eastAsia="Calibri" w:hAnsi="Calibri"/>
      <w:color w:val="000000"/>
    </w:rPr>
  </w:style>
  <w:style w:type="paragraph" w:styleId="Revision">
    <w:name w:val="Revision"/>
    <w:hidden w:val="1"/>
    <w:uiPriority w:val="99"/>
    <w:semiHidden w:val="1"/>
    <w:pPr>
      <w:spacing w:after="0" w:line="240" w:lineRule="auto"/>
    </w:pPr>
  </w:style>
  <w:style w:type="character" w:styleId="GPSL2NumberedBoldHeadingChar" w:customStyle="1">
    <w:name w:val="GPS L2 Numbered Bold Heading Char"/>
    <w:link w:val="GPSL2NumberedBoldHeading"/>
    <w:locked w:val="1"/>
    <w:rsid w:val="0057789E"/>
    <w:rPr>
      <w:rFonts w:ascii="Calibri" w:cs="Arial" w:eastAsia="Times New Roman" w:hAnsi="Calibri"/>
      <w:b w:val="1"/>
      <w:lang w:eastAsia="zh-CN"/>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4">
    <w:basedOn w:val="TableNormal"/>
    <w:pPr>
      <w:spacing w:after="0" w:line="240" w:lineRule="auto"/>
    </w:p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4">
    <w:basedOn w:val="TableNormal"/>
    <w:pPr>
      <w:spacing w:after="0" w:line="240" w:lineRule="auto"/>
    </w:p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IBDxQc8qjF4xgTcp4dPQvhFJ7wg==">AMUW2mVJ6xQtDcNUKYX3Ho3khyGttlWQGiCYeFQF6iFdCmCJnG1lWjS+yg0o3CXkf1t9O0PvlHwzk0M8zbR9C47qFY2/dNCLtNYgg2+PnFQTL3y5xiV3qaqBUlLlYi221KMyF5RkFtx2qTxyOdSypyrumzjkqkEHd1iA7UBq78CkVt/mL7qO7Gel1sHfHHYEyEA5JkgP3GY/6HgzGRPyHlL/auvGl9hPCQmxuodeAvOiDq6sItnXKP7VlNQ8NlAixmtQw6awPuUm2bZ76FTDGcxSneBq4hTuhovxrSbJUVeKKbmymidjD5jUzB2doW8orTKgZdMPpr+Kn9PlRUQE94vsBllAV3996wYC/Cgg2e2Mgfpm+cjScUV5WN8U4Jh0BkM4PwWOgGpo/bf+0L6i9qS3dXjtUWQT7kaWRS+hRQMhhFoQ3t46nbkIpDFNmRdc+SZRhIrIpwBE07Ee2wNrX4iCXmgVFFbEx2V93iiTNnJ3E37G3Yeu1siOtK9rnKLfFaJ5ErdM/F2jmtaieF6/EsA7Ki6GIIG/CTG11P7NhnNBWqvsCQe9rlZY2TBrF9Hyg2iD0wJT4WXkUl8muEKM7rBkMPnEzNXKX9pm0QZI06BxcZpQ6xXvL5boWwo325OXStsOLtRlfaPLrXIgVi3J+0Ac62iwjRFa9CyH7zhnNfFq692M3ITjARf3R4hoYyqyft+TmRKbDkSUw7JF2haDYUnsf332k6tVvOCKeypj7QQy21RTWIaNqSzUlSEV5HccEMx9Gqk7SmRuQknFAgtogNGOBOFn5qxWFt8MtdghVZ+Nx4VxIf5YAlBaB9PPjR6yEyWtKff2v3XxyGdvuBApPik60ZCeYHdCvV+AJGzbxvzsvudUWzwGVLV0+IvhMpwK6Ax6OxWfkkpT3JMigm1DENMcakN7eZLXn0WLNB93Ojxh6+pa3bW/uHQfnjD7umQwSyqWBwurvq6RFEysWr0rGH0JEkWBVtL7pjhxnYC+O6z4N+8l32aXHFC7/rbWzcvHgtjGizVF9EcdbgxYRJzmWBt1SbuuCa7pRyCwt9LrgTEDVnr756ZphNklvSsABIlg6dMU7yT0aOO/yPqKsHDH6mQmGa8HnbVn5nE2zRVVzCd5sIS8gRydPn2abDoWs1pQmqUlF9bhpM8OHtC5exTpd7Nuv+0Lpd5L25ijBlABJlcrCfKnW83O5QbLX9zQJUKNvE5dC08yDzfX1QvyQwFfvyiVKmCnMVt5lhE0XowEpDZD6NrZKTb+xhCTqKB+m0b+d5afIZAyXny/y09QjfgXwQM4A0Rc11tJKAjMGdoPP378MtOcaxf+g6bPKdXnZauKtlDPZttPpRi4SZ8hHfpFDaOAMzzLxAYXdjbMy0VVRlngRKD3zEZh9oPHk6pCbsMlbjxi3BXb+yXMCkvlhJEvQhslE0MYEOyrwCyD4WXdrC+LLuO4Kbnn78PNz9SxmSW57YMYd2MSSGBSD1FwDTiVUyo+OXGhYxFlidm8WzgAdvwsiIv2hDm+kmzjU4p/DEnXPYg/YCW2M0DqVfTq7/LGc/7yKq9m9wOhsXnnYyc/RxG+hUwG6GoiM/05eUpkVjftagdAsUp4L+fEEfCcyM5EHmsf8kPXUpmTr9N/N44saNNpo3juI5DppPHbODhzQBw/sE2GXl7ghjNUWEJ+sTlLXvrhrlO00Px/EjE79VMhSNQEO+wAtFAp+wrWYtul0XjAIDaGXTtskmrf/hCsSafHxTA7+LDopl9oH+Vi9UUSjbps8Z2hWvv6QBoHj8jwRhYpohqvq0/xKOBSlLsl0qyrTd8w+vQxq+RXOBw2wHSc9MGmFf+RNj6RKtmv1USqaEAqgRztC4ogm+qEIm70t1nIEeadhgzbai4TmbKyfD8Ug2rFjIqyv9J2WDGfwXUBiybIX0aYxd27uiR5zLoJeiN6VUIOQxRAvlVdjd1pJWWB/DRNoYMD/Z+EFcjfjmIhPyEU2OpLI25qmjGf260vjb0Mm9PF4rOaFVf4XO43/Ixre0vpuIFsp4W8CfUDRziCNzcT4NiSiyfmQYZ3B9s2gkzxoNuIEFvptOtuWZRYlEf/2NtzjkiTQjjl4EVWSHkt1JLQuGM3knVeoo5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2020-10-16T10:45:00Z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